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C7" w:rsidRDefault="00BF49C7" w:rsidP="00BF49C7">
      <w:r>
        <w:t xml:space="preserve">                                                                                                                             </w:t>
      </w:r>
    </w:p>
    <w:p w:rsidR="00BF49C7" w:rsidRDefault="00BF49C7" w:rsidP="006E2A60">
      <w:pPr>
        <w:tabs>
          <w:tab w:val="left" w:pos="1843"/>
        </w:tabs>
        <w:spacing w:after="0" w:line="240" w:lineRule="auto"/>
      </w:pPr>
      <w:r w:rsidRPr="00BF49C7">
        <w:rPr>
          <w:b/>
        </w:rPr>
        <w:t>Charakteristika</w:t>
      </w:r>
      <w:r>
        <w:t>:</w:t>
      </w:r>
      <w:r w:rsidR="006E2A60">
        <w:tab/>
      </w:r>
      <w:r>
        <w:t xml:space="preserve"> Dvousložkový polyuretanový lak na bázi polyesterů obsahujících skupiny</w:t>
      </w:r>
    </w:p>
    <w:p w:rsidR="00BF49C7" w:rsidRDefault="00BF49C7" w:rsidP="006E2A60">
      <w:pPr>
        <w:spacing w:after="0" w:line="240" w:lineRule="auto"/>
        <w:ind w:left="1873"/>
      </w:pPr>
      <w:r>
        <w:t>hydroxyl, dobrá světlostálost. Ideálního výsledku dosáhnete pouze při dodržení       následujících instrukcí.</w:t>
      </w:r>
      <w:r w:rsidR="0028652C">
        <w:t xml:space="preserve"> Vždy provádějte zkušební nátěr. Na případné reklamace nebude brán zřetel.</w:t>
      </w:r>
    </w:p>
    <w:p w:rsidR="006E2A60" w:rsidRDefault="006E2A60" w:rsidP="006E2A60">
      <w:pPr>
        <w:tabs>
          <w:tab w:val="left" w:pos="1843"/>
        </w:tabs>
        <w:ind w:left="1838" w:hanging="1980"/>
      </w:pPr>
      <w:r>
        <w:rPr>
          <w:b/>
        </w:rPr>
        <w:t xml:space="preserve">   </w:t>
      </w:r>
      <w:r w:rsidR="00BF49C7" w:rsidRPr="00BF49C7">
        <w:rPr>
          <w:b/>
        </w:rPr>
        <w:t>Oblast použití:</w:t>
      </w:r>
      <w:r w:rsidR="00BF49C7">
        <w:t xml:space="preserve">  </w:t>
      </w:r>
      <w:r>
        <w:tab/>
        <w:t>Pro zušlechťování dřevěných povrchů (nábytek) a prodloužení životnosti dřeva. Tento produkt se hodí pro použití v exteriéru i interiéru.</w:t>
      </w:r>
    </w:p>
    <w:p w:rsidR="006E2A60" w:rsidRDefault="006E2A60" w:rsidP="006E2A60">
      <w:pPr>
        <w:tabs>
          <w:tab w:val="left" w:pos="1843"/>
        </w:tabs>
        <w:ind w:left="1560" w:hanging="1560"/>
      </w:pPr>
      <w:r>
        <w:rPr>
          <w:b/>
        </w:rPr>
        <w:t>Upozornění:</w:t>
      </w:r>
      <w:r>
        <w:t xml:space="preserve">      </w:t>
      </w:r>
      <w:r>
        <w:tab/>
      </w:r>
      <w:r>
        <w:tab/>
        <w:t>Tento produkt není vhodný pro použití na zvětralé dřevo.</w:t>
      </w:r>
    </w:p>
    <w:p w:rsidR="006E2A60" w:rsidRDefault="006E2A60" w:rsidP="006E2A60">
      <w:pPr>
        <w:tabs>
          <w:tab w:val="left" w:pos="1843"/>
        </w:tabs>
        <w:ind w:left="1560" w:hanging="1560"/>
      </w:pPr>
      <w:r>
        <w:rPr>
          <w:b/>
        </w:rPr>
        <w:t>Podklad:</w:t>
      </w:r>
      <w:r>
        <w:tab/>
      </w:r>
      <w:r>
        <w:tab/>
        <w:t>Dřevo musí být suché, čisté, zbaveno pryskyřice.</w:t>
      </w:r>
    </w:p>
    <w:p w:rsidR="006E2A60" w:rsidRDefault="0046087C" w:rsidP="006E2A60">
      <w:pPr>
        <w:tabs>
          <w:tab w:val="left" w:pos="1843"/>
        </w:tabs>
        <w:ind w:left="1560" w:hanging="1560"/>
      </w:pPr>
      <w:r>
        <w:rPr>
          <w:b/>
        </w:rPr>
        <w:t>Tvrdidlo</w:t>
      </w:r>
      <w:r w:rsidR="006E2A60">
        <w:rPr>
          <w:b/>
        </w:rPr>
        <w:t>:</w:t>
      </w:r>
      <w:r w:rsidR="006E2A60">
        <w:tab/>
      </w:r>
      <w:r w:rsidR="006E2A60">
        <w:tab/>
        <w:t>Rosner - DD 74 Tužidlo (poměr míchání 1:1)</w:t>
      </w:r>
    </w:p>
    <w:p w:rsidR="006E2A60" w:rsidRDefault="006E2A60" w:rsidP="006E2A60">
      <w:pPr>
        <w:tabs>
          <w:tab w:val="left" w:pos="1843"/>
        </w:tabs>
        <w:spacing w:after="0"/>
        <w:ind w:left="1559" w:hanging="1559"/>
        <w:rPr>
          <w:b/>
        </w:rPr>
      </w:pPr>
      <w:r>
        <w:rPr>
          <w:b/>
        </w:rPr>
        <w:t xml:space="preserve">Doba </w:t>
      </w:r>
    </w:p>
    <w:p w:rsidR="00957D04" w:rsidRDefault="006E2A60" w:rsidP="00957D04">
      <w:pPr>
        <w:tabs>
          <w:tab w:val="left" w:pos="1843"/>
        </w:tabs>
        <w:spacing w:after="0"/>
        <w:ind w:left="1843" w:hanging="1843"/>
      </w:pPr>
      <w:r>
        <w:rPr>
          <w:b/>
        </w:rPr>
        <w:t>zpracovatelnosti:</w:t>
      </w:r>
      <w:r>
        <w:rPr>
          <w:b/>
        </w:rPr>
        <w:tab/>
      </w:r>
      <w:r w:rsidR="00957D04">
        <w:t xml:space="preserve">Max. </w:t>
      </w:r>
      <w:r>
        <w:t>5 hodin při 20°C/65% relativní vlhkosti</w:t>
      </w:r>
      <w:r w:rsidR="00957D04">
        <w:t xml:space="preserve"> vzduchu. V případě překročení data spotřeby neručíme za povrchově vady. </w:t>
      </w:r>
    </w:p>
    <w:p w:rsidR="002B553B" w:rsidRDefault="00957D04" w:rsidP="00957D04">
      <w:pPr>
        <w:tabs>
          <w:tab w:val="left" w:pos="1843"/>
        </w:tabs>
        <w:spacing w:after="0"/>
        <w:ind w:left="1843" w:hanging="1843"/>
      </w:pPr>
      <w:r>
        <w:rPr>
          <w:b/>
        </w:rPr>
        <w:t>Upozornění:</w:t>
      </w:r>
      <w:r>
        <w:tab/>
        <w:t xml:space="preserve">Doba zpracovatelnosti při vyšších teplotách okolí a materiálu se při použití zkracuje. </w:t>
      </w:r>
    </w:p>
    <w:p w:rsidR="002B553B" w:rsidRDefault="002B553B" w:rsidP="002B553B">
      <w:pPr>
        <w:tabs>
          <w:tab w:val="left" w:pos="1843"/>
        </w:tabs>
        <w:spacing w:after="0"/>
        <w:ind w:left="1843" w:hanging="1843"/>
        <w:rPr>
          <w:rStyle w:val="jlqj4b"/>
        </w:rPr>
      </w:pPr>
      <w:r w:rsidRPr="002B553B">
        <w:rPr>
          <w:rStyle w:val="jlqj4b"/>
          <w:b/>
        </w:rPr>
        <w:t>Aplikace:</w:t>
      </w:r>
      <w:r w:rsidRPr="002B553B">
        <w:rPr>
          <w:rStyle w:val="jlqj4b"/>
          <w:b/>
        </w:rPr>
        <w:tab/>
      </w:r>
      <w:r>
        <w:rPr>
          <w:rStyle w:val="jlqj4b"/>
        </w:rPr>
        <w:t>2K-DD-Treppenlack se nanáší stříkáním (nádobková pistole, Airless, Airmix).</w:t>
      </w:r>
    </w:p>
    <w:p w:rsidR="00DA16C8" w:rsidRDefault="00DA16C8" w:rsidP="002B553B">
      <w:pPr>
        <w:tabs>
          <w:tab w:val="left" w:pos="1843"/>
        </w:tabs>
        <w:spacing w:after="0"/>
        <w:ind w:left="1843" w:hanging="1843"/>
        <w:rPr>
          <w:rStyle w:val="jlqj4b"/>
        </w:rPr>
      </w:pPr>
    </w:p>
    <w:p w:rsidR="002B553B" w:rsidRDefault="002B553B" w:rsidP="002B553B">
      <w:pPr>
        <w:tabs>
          <w:tab w:val="left" w:pos="1843"/>
        </w:tabs>
        <w:spacing w:after="0"/>
        <w:ind w:left="1843" w:hanging="1843"/>
      </w:pP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  <w:sectPr w:rsidR="002B553B" w:rsidSect="005A6875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553B" w:rsidRPr="00EB06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19"/>
          <w:szCs w:val="19"/>
        </w:rPr>
      </w:pPr>
      <w:r w:rsidRPr="00EB063B">
        <w:rPr>
          <w:rFonts w:ascii="CIDFont+F3" w:hAnsi="CIDFont+F3" w:cs="CIDFont+F3"/>
          <w:b/>
          <w:sz w:val="19"/>
          <w:szCs w:val="19"/>
        </w:rPr>
        <w:lastRenderedPageBreak/>
        <w:t>Způsob stříkání:</w:t>
      </w:r>
    </w:p>
    <w:p w:rsidR="002B553B" w:rsidRPr="00EB06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19"/>
          <w:szCs w:val="19"/>
        </w:rPr>
      </w:pPr>
      <w:r w:rsidRPr="00EB063B">
        <w:rPr>
          <w:rFonts w:ascii="CIDFont+F3" w:hAnsi="CIDFont+F3" w:cs="CIDFont+F3"/>
          <w:b/>
          <w:sz w:val="19"/>
          <w:szCs w:val="19"/>
        </w:rPr>
        <w:t>Tlak stříkání:</w:t>
      </w:r>
    </w:p>
    <w:p w:rsidR="002B553B" w:rsidRPr="00EB06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19"/>
          <w:szCs w:val="19"/>
        </w:rPr>
      </w:pPr>
      <w:r w:rsidRPr="00EB063B">
        <w:rPr>
          <w:rFonts w:ascii="CIDFont+F3" w:hAnsi="CIDFont+F3" w:cs="CIDFont+F3"/>
          <w:b/>
          <w:sz w:val="19"/>
          <w:szCs w:val="19"/>
        </w:rPr>
        <w:t>Tlak</w:t>
      </w:r>
    </w:p>
    <w:p w:rsidR="002B553B" w:rsidRPr="00EB06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19"/>
          <w:szCs w:val="19"/>
        </w:rPr>
      </w:pPr>
      <w:r w:rsidRPr="00EB063B">
        <w:rPr>
          <w:rFonts w:ascii="CIDFont+F3" w:hAnsi="CIDFont+F3" w:cs="CIDFont+F3"/>
          <w:b/>
          <w:sz w:val="19"/>
          <w:szCs w:val="19"/>
        </w:rPr>
        <w:t>vzduchu:</w:t>
      </w:r>
    </w:p>
    <w:p w:rsidR="002B553B" w:rsidRPr="00EB063B" w:rsidRDefault="00EB06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19"/>
          <w:szCs w:val="19"/>
        </w:rPr>
      </w:pPr>
      <w:r w:rsidRPr="00EB063B">
        <w:rPr>
          <w:rFonts w:ascii="CIDFont+F3" w:hAnsi="CIDFont+F3" w:cs="CIDFont+F3"/>
          <w:b/>
          <w:sz w:val="19"/>
          <w:szCs w:val="19"/>
        </w:rPr>
        <w:t>Velikost trysky</w:t>
      </w:r>
      <w:r w:rsidR="002B553B" w:rsidRPr="00EB063B">
        <w:rPr>
          <w:rFonts w:ascii="CIDFont+F3" w:hAnsi="CIDFont+F3" w:cs="CIDFont+F3"/>
          <w:b/>
          <w:sz w:val="19"/>
          <w:szCs w:val="19"/>
        </w:rPr>
        <w:t>:</w:t>
      </w:r>
    </w:p>
    <w:p w:rsidR="002B553B" w:rsidRPr="00EB063B" w:rsidRDefault="00EB06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19"/>
          <w:szCs w:val="19"/>
        </w:rPr>
      </w:pPr>
      <w:r w:rsidRPr="00EB063B">
        <w:rPr>
          <w:rFonts w:ascii="CIDFont+F3" w:hAnsi="CIDFont+F3" w:cs="CIDFont+F3"/>
          <w:b/>
          <w:sz w:val="19"/>
          <w:szCs w:val="19"/>
        </w:rPr>
        <w:t>Aplikační viskozita</w:t>
      </w:r>
      <w:r w:rsidR="002B553B" w:rsidRPr="00EB063B">
        <w:rPr>
          <w:rFonts w:ascii="CIDFont+F3" w:hAnsi="CIDFont+F3" w:cs="CIDFont+F3"/>
          <w:b/>
          <w:sz w:val="19"/>
          <w:szCs w:val="19"/>
        </w:rPr>
        <w:t>:</w:t>
      </w:r>
    </w:p>
    <w:p w:rsidR="002B553B" w:rsidRPr="00EB06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19"/>
          <w:szCs w:val="19"/>
        </w:rPr>
      </w:pPr>
      <w:r w:rsidRPr="00EB063B">
        <w:rPr>
          <w:rFonts w:ascii="CIDFont+F2" w:hAnsi="CIDFont+F2" w:cs="CIDFont+F2"/>
          <w:b/>
          <w:sz w:val="19"/>
          <w:szCs w:val="19"/>
        </w:rPr>
        <w:lastRenderedPageBreak/>
        <w:t>Airmix</w:t>
      </w: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60 - 80 bar</w:t>
      </w: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----</w:t>
      </w: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0,23 - 0,33 mm</w:t>
      </w:r>
    </w:p>
    <w:p w:rsidR="00A15F98" w:rsidRDefault="00A15F98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ok.16 s/4 mm</w:t>
      </w:r>
    </w:p>
    <w:p w:rsidR="002B553B" w:rsidRPr="00EB06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19"/>
          <w:szCs w:val="19"/>
        </w:rPr>
      </w:pPr>
      <w:r w:rsidRPr="00EB063B">
        <w:rPr>
          <w:rFonts w:ascii="CIDFont+F3" w:hAnsi="CIDFont+F3" w:cs="CIDFont+F3"/>
          <w:b/>
          <w:sz w:val="19"/>
          <w:szCs w:val="19"/>
        </w:rPr>
        <w:lastRenderedPageBreak/>
        <w:t>Airless</w:t>
      </w: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50 - 60 bar</w:t>
      </w: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1,5 - 2,0 bar</w:t>
      </w:r>
    </w:p>
    <w:p w:rsidR="00EB063B" w:rsidRDefault="00EB06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0,23 - 0,33 mm</w:t>
      </w:r>
    </w:p>
    <w:p w:rsidR="00A15F98" w:rsidRDefault="00A15F98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ok. 16 s/4 mm</w:t>
      </w:r>
    </w:p>
    <w:p w:rsidR="002B553B" w:rsidRPr="00EB063B" w:rsidRDefault="00A15F98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19"/>
          <w:szCs w:val="19"/>
        </w:rPr>
      </w:pPr>
      <w:r>
        <w:rPr>
          <w:rFonts w:ascii="CIDFont+F3" w:hAnsi="CIDFont+F3" w:cs="CIDFont+F3"/>
          <w:b/>
          <w:sz w:val="19"/>
          <w:szCs w:val="19"/>
        </w:rPr>
        <w:lastRenderedPageBreak/>
        <w:t>N</w:t>
      </w:r>
      <w:r w:rsidR="002B553B" w:rsidRPr="00EB063B">
        <w:rPr>
          <w:rFonts w:ascii="CIDFont+F3" w:hAnsi="CIDFont+F3" w:cs="CIDFont+F3"/>
          <w:b/>
          <w:sz w:val="19"/>
          <w:szCs w:val="19"/>
        </w:rPr>
        <w:t>ádobková pistole</w:t>
      </w: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----</w:t>
      </w: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2,5 - 3,5 bar</w:t>
      </w: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</w:p>
    <w:p w:rsidR="002B553B" w:rsidRDefault="002B553B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  <w:r>
        <w:rPr>
          <w:rFonts w:ascii="CIDFont+F3" w:hAnsi="CIDFont+F3" w:cs="CIDFont+F3"/>
          <w:sz w:val="19"/>
          <w:szCs w:val="19"/>
        </w:rPr>
        <w:t>1,7 - 1,9 mm</w:t>
      </w:r>
    </w:p>
    <w:p w:rsidR="00A15F98" w:rsidRDefault="00A15F98" w:rsidP="002B553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9"/>
          <w:szCs w:val="19"/>
        </w:rPr>
      </w:pPr>
    </w:p>
    <w:p w:rsidR="002B553B" w:rsidRDefault="002B553B" w:rsidP="002B553B">
      <w:pPr>
        <w:tabs>
          <w:tab w:val="left" w:pos="1843"/>
        </w:tabs>
        <w:spacing w:after="0"/>
        <w:ind w:left="1843" w:hanging="1843"/>
        <w:rPr>
          <w:rFonts w:ascii="CIDFont+F3" w:hAnsi="CIDFont+F3" w:cs="CIDFont+F3"/>
          <w:sz w:val="19"/>
          <w:szCs w:val="19"/>
        </w:rPr>
        <w:sectPr w:rsidR="002B553B" w:rsidSect="002B553B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  <w:r>
        <w:rPr>
          <w:rFonts w:ascii="CIDFont+F3" w:hAnsi="CIDFont+F3" w:cs="CIDFont+F3"/>
          <w:sz w:val="19"/>
          <w:szCs w:val="19"/>
        </w:rPr>
        <w:t>ok. 16 s/4 mm</w:t>
      </w:r>
    </w:p>
    <w:p w:rsidR="002B553B" w:rsidRDefault="002B553B" w:rsidP="002B553B">
      <w:pPr>
        <w:tabs>
          <w:tab w:val="left" w:pos="1843"/>
        </w:tabs>
        <w:spacing w:after="0"/>
        <w:ind w:left="1843" w:hanging="1843"/>
      </w:pPr>
    </w:p>
    <w:p w:rsidR="00DA16C8" w:rsidRDefault="00DA16C8" w:rsidP="002B553B">
      <w:pPr>
        <w:tabs>
          <w:tab w:val="left" w:pos="1843"/>
        </w:tabs>
        <w:spacing w:after="0"/>
        <w:ind w:left="1843" w:hanging="1843"/>
      </w:pPr>
    </w:p>
    <w:p w:rsidR="00DA16C8" w:rsidRDefault="00DA16C8" w:rsidP="002B553B">
      <w:pPr>
        <w:tabs>
          <w:tab w:val="left" w:pos="1843"/>
        </w:tabs>
        <w:spacing w:after="0"/>
        <w:ind w:left="1843" w:hanging="1843"/>
      </w:pPr>
    </w:p>
    <w:p w:rsidR="00445EA0" w:rsidRDefault="00445EA0" w:rsidP="00445EA0">
      <w:pPr>
        <w:spacing w:after="0"/>
      </w:pPr>
      <w:r>
        <w:t xml:space="preserve">V závislosti na použitém stříkacím zařízení mohou vznikat rozdíly v tlaku stříkání, tlaku vzduchu a velikosti trysky. Teplota při zpracování by neměla být nižší nez 18°C. Není vhodné pro aplikaci válečkem či štětcem. </w:t>
      </w:r>
    </w:p>
    <w:p w:rsidR="00445EA0" w:rsidRDefault="00445EA0" w:rsidP="00445EA0">
      <w:pPr>
        <w:spacing w:after="0"/>
      </w:pPr>
    </w:p>
    <w:p w:rsidR="00445EA0" w:rsidRDefault="0046087C" w:rsidP="0046087C">
      <w:pPr>
        <w:tabs>
          <w:tab w:val="left" w:pos="1843"/>
        </w:tabs>
        <w:spacing w:after="0"/>
        <w:ind w:left="1843" w:hanging="1843"/>
        <w:rPr>
          <w:rStyle w:val="jlqj4b"/>
        </w:rPr>
      </w:pPr>
      <w:r w:rsidRPr="0046087C">
        <w:rPr>
          <w:rStyle w:val="jlqj4b"/>
          <w:b/>
        </w:rPr>
        <w:t>Ředění:</w:t>
      </w:r>
      <w:r>
        <w:rPr>
          <w:rStyle w:val="jlqj4b"/>
        </w:rPr>
        <w:tab/>
      </w:r>
      <w:r w:rsidR="00445EA0">
        <w:rPr>
          <w:rStyle w:val="jlqj4b"/>
        </w:rPr>
        <w:t xml:space="preserve">2K-DD-Treppenlack tvoří společně s tužidlem DD-Härter 74 stříkací směs. V závislosti na způsobu nástřiku a požadavcích lze ředit ředidlem DD-Verdünnung </w:t>
      </w:r>
      <w:r w:rsidR="00445EA0">
        <w:rPr>
          <w:rStyle w:val="jlqj4b"/>
        </w:rPr>
        <w:lastRenderedPageBreak/>
        <w:t>Nr 20. Jako zpomalovač schnutí použijte ředidlo DD-Verdünnung č. 25 (max. 5 %).</w:t>
      </w:r>
    </w:p>
    <w:p w:rsidR="0046087C" w:rsidRDefault="0046087C" w:rsidP="0046087C">
      <w:pPr>
        <w:tabs>
          <w:tab w:val="left" w:pos="1843"/>
        </w:tabs>
        <w:spacing w:after="0"/>
        <w:ind w:left="1843" w:hanging="1843"/>
        <w:rPr>
          <w:rStyle w:val="jlqj4b"/>
        </w:rPr>
      </w:pPr>
      <w:r w:rsidRPr="0046087C">
        <w:rPr>
          <w:rStyle w:val="jlqj4b"/>
          <w:b/>
        </w:rPr>
        <w:t>Vydatnost:</w:t>
      </w:r>
      <w:r>
        <w:rPr>
          <w:rStyle w:val="jlqj4b"/>
        </w:rPr>
        <w:tab/>
        <w:t>Aplikované množství: cca 120-140 ml / m² cca 7-8 m² / l na vrstvu (v závislosti na savosti dřeva a typu aplikace).</w:t>
      </w:r>
    </w:p>
    <w:p w:rsidR="00732C35" w:rsidRPr="00BF49C7" w:rsidRDefault="00732C35" w:rsidP="00732C35">
      <w:pPr>
        <w:rPr>
          <w:u w:val="single" w:color="FFFF00"/>
        </w:rPr>
      </w:pPr>
    </w:p>
    <w:p w:rsidR="00732C35" w:rsidRDefault="00732C35" w:rsidP="00732C35">
      <w:pPr>
        <w:tabs>
          <w:tab w:val="left" w:pos="1843"/>
        </w:tabs>
        <w:spacing w:after="0"/>
        <w:ind w:left="1843" w:hanging="1843"/>
      </w:pPr>
      <w:r w:rsidRPr="00732C35">
        <w:rPr>
          <w:b/>
        </w:rPr>
        <w:t>Doba schnutí:</w:t>
      </w:r>
      <w:r>
        <w:t xml:space="preserve"> </w:t>
      </w:r>
      <w:r>
        <w:tab/>
        <w:t>V závislosti na typu aplikace a množství aplikace při pokojové teplotě</w:t>
      </w:r>
    </w:p>
    <w:p w:rsidR="00732C35" w:rsidRDefault="00732C35" w:rsidP="00732C35">
      <w:pPr>
        <w:tabs>
          <w:tab w:val="left" w:pos="1843"/>
        </w:tabs>
        <w:spacing w:after="0"/>
        <w:ind w:left="1843" w:hanging="1843"/>
      </w:pPr>
      <w:r>
        <w:tab/>
        <w:t>(20 °C / 65% relativní vlhkost vzduchu):</w:t>
      </w:r>
    </w:p>
    <w:p w:rsidR="00732C35" w:rsidRDefault="00732C35" w:rsidP="00732C35">
      <w:pPr>
        <w:tabs>
          <w:tab w:val="left" w:pos="1843"/>
        </w:tabs>
        <w:spacing w:after="0"/>
        <w:ind w:left="1843" w:hanging="1843"/>
      </w:pPr>
      <w:r>
        <w:tab/>
        <w:t>-suchý na dotek po 30 min.</w:t>
      </w:r>
    </w:p>
    <w:p w:rsidR="00732C35" w:rsidRDefault="00732C35" w:rsidP="00732C35">
      <w:pPr>
        <w:tabs>
          <w:tab w:val="left" w:pos="1843"/>
        </w:tabs>
        <w:spacing w:after="0"/>
        <w:ind w:left="1843" w:hanging="1843"/>
      </w:pPr>
      <w:r>
        <w:tab/>
        <w:t>- připraven k broušení a lakování po 4 hodinách.</w:t>
      </w:r>
    </w:p>
    <w:p w:rsidR="00732C35" w:rsidRDefault="0069663B" w:rsidP="00732C35">
      <w:pPr>
        <w:tabs>
          <w:tab w:val="left" w:pos="1843"/>
        </w:tabs>
        <w:spacing w:after="0"/>
        <w:ind w:left="1843" w:hanging="1843"/>
        <w:rPr>
          <w:rStyle w:val="jlqj4b"/>
        </w:rPr>
      </w:pPr>
      <w:r w:rsidRPr="0069663B">
        <w:rPr>
          <w:rStyle w:val="jlqj4b"/>
          <w:b/>
        </w:rPr>
        <w:t>Stupeň lesku:</w:t>
      </w:r>
      <w:r>
        <w:rPr>
          <w:rStyle w:val="jlqj4b"/>
        </w:rPr>
        <w:tab/>
        <w:t xml:space="preserve"> 1 = lesk, 3 = hedvábně lesklý, 4 = polomatný, 45 = matný</w:t>
      </w:r>
    </w:p>
    <w:p w:rsidR="0069663B" w:rsidRDefault="0069663B" w:rsidP="00732C35">
      <w:pPr>
        <w:tabs>
          <w:tab w:val="left" w:pos="1843"/>
        </w:tabs>
        <w:spacing w:after="0"/>
        <w:ind w:left="1843" w:hanging="1843"/>
      </w:pPr>
    </w:p>
    <w:p w:rsidR="0069663B" w:rsidRPr="0069663B" w:rsidRDefault="0069663B" w:rsidP="00732C35">
      <w:pPr>
        <w:tabs>
          <w:tab w:val="left" w:pos="1843"/>
        </w:tabs>
        <w:spacing w:after="0"/>
        <w:ind w:left="1843" w:hanging="1843"/>
        <w:rPr>
          <w:rStyle w:val="jlqj4b"/>
          <w:b/>
        </w:rPr>
      </w:pPr>
      <w:r w:rsidRPr="0069663B">
        <w:rPr>
          <w:rStyle w:val="jlqj4b"/>
          <w:b/>
        </w:rPr>
        <w:t>Základní nátěr</w:t>
      </w:r>
    </w:p>
    <w:p w:rsidR="0069663B" w:rsidRDefault="0069663B" w:rsidP="00732C35">
      <w:pPr>
        <w:tabs>
          <w:tab w:val="left" w:pos="1843"/>
        </w:tabs>
        <w:spacing w:after="0"/>
        <w:ind w:left="1843" w:hanging="1843"/>
        <w:rPr>
          <w:rStyle w:val="jlqj4b"/>
        </w:rPr>
      </w:pPr>
      <w:r w:rsidRPr="0069663B">
        <w:rPr>
          <w:rStyle w:val="jlqj4b"/>
          <w:b/>
        </w:rPr>
        <w:t xml:space="preserve"> a lakování:</w:t>
      </w:r>
      <w:r>
        <w:rPr>
          <w:rStyle w:val="jlqj4b"/>
        </w:rPr>
        <w:tab/>
        <w:t xml:space="preserve"> 2-K-DD-Treppenlack se používá jako základní i vrchní nátěr. Pro vyšší zatížení doporučujeme nanést tři vrstvy 2K-DD Treppenlack.</w:t>
      </w:r>
      <w:r>
        <w:rPr>
          <w:rStyle w:val="jlqj4b"/>
        </w:rPr>
        <w:br/>
      </w:r>
    </w:p>
    <w:p w:rsidR="0069663B" w:rsidRDefault="006F12C9" w:rsidP="00732C35">
      <w:pPr>
        <w:tabs>
          <w:tab w:val="left" w:pos="1843"/>
        </w:tabs>
        <w:spacing w:after="0"/>
        <w:ind w:left="1843" w:hanging="1843"/>
        <w:rPr>
          <w:rStyle w:val="jlqj4b"/>
        </w:rPr>
      </w:pPr>
      <w:r w:rsidRPr="006F12C9">
        <w:rPr>
          <w:rStyle w:val="jlqj4b"/>
          <w:b/>
        </w:rPr>
        <w:t>Skladování:</w:t>
      </w:r>
      <w:r>
        <w:rPr>
          <w:rStyle w:val="jlqj4b"/>
        </w:rPr>
        <w:tab/>
        <w:t xml:space="preserve"> 2K-DD-Treppenlack lze skladovat v původním uzavřeném obalu 3 roky, vytvrzovací přísada 2 roky.</w:t>
      </w:r>
    </w:p>
    <w:p w:rsidR="006F12C9" w:rsidRDefault="006F12C9" w:rsidP="00732C35">
      <w:pPr>
        <w:tabs>
          <w:tab w:val="left" w:pos="1843"/>
        </w:tabs>
        <w:spacing w:after="0"/>
        <w:ind w:left="1843" w:hanging="1843"/>
        <w:rPr>
          <w:rStyle w:val="jlqj4b"/>
        </w:rPr>
      </w:pPr>
      <w:r w:rsidRPr="006F12C9">
        <w:rPr>
          <w:rStyle w:val="jlqj4b"/>
          <w:b/>
        </w:rPr>
        <w:t>Poznámky:</w:t>
      </w:r>
      <w:r>
        <w:rPr>
          <w:rStyle w:val="jlqj4b"/>
        </w:rPr>
        <w:tab/>
        <w:t xml:space="preserve"> I když jsou povrchy natřené 2K-DD-Treppenlack po krátké době suché a lze je stohovat, doporučená chemická a mechanická odolnost je až po vytvrzení 5-7 dní (20 °C / 65% rel. vlhkost vzduchu).</w:t>
      </w:r>
    </w:p>
    <w:p w:rsidR="006F12C9" w:rsidRDefault="006F12C9" w:rsidP="00732C35">
      <w:pPr>
        <w:tabs>
          <w:tab w:val="left" w:pos="1843"/>
        </w:tabs>
        <w:spacing w:after="0"/>
        <w:ind w:left="1843" w:hanging="1843"/>
        <w:rPr>
          <w:rStyle w:val="jlqj4b"/>
        </w:rPr>
      </w:pPr>
      <w:r>
        <w:rPr>
          <w:rStyle w:val="jlqj4b"/>
        </w:rPr>
        <w:tab/>
        <w:t xml:space="preserve">Kontrolováno podle: </w:t>
      </w:r>
    </w:p>
    <w:p w:rsidR="006F12C9" w:rsidRDefault="006F12C9" w:rsidP="00732C35">
      <w:pPr>
        <w:tabs>
          <w:tab w:val="left" w:pos="1843"/>
        </w:tabs>
        <w:spacing w:after="0"/>
        <w:ind w:left="1843" w:hanging="1843"/>
        <w:rPr>
          <w:rStyle w:val="jlqj4b"/>
        </w:rPr>
      </w:pPr>
      <w:r>
        <w:rPr>
          <w:rStyle w:val="jlqj4b"/>
        </w:rPr>
        <w:tab/>
        <w:t xml:space="preserve">DIN 68861-1 (Odolnost povrchu nábytku: Chemická odolnost): třída 1B </w:t>
      </w:r>
      <w:r>
        <w:rPr>
          <w:rStyle w:val="jlqj4b"/>
        </w:rPr>
        <w:tab/>
      </w:r>
    </w:p>
    <w:p w:rsidR="006F12C9" w:rsidRDefault="006F12C9" w:rsidP="00732C35">
      <w:pPr>
        <w:tabs>
          <w:tab w:val="left" w:pos="1843"/>
        </w:tabs>
        <w:spacing w:after="0"/>
        <w:ind w:left="1843" w:hanging="1843"/>
        <w:rPr>
          <w:rStyle w:val="jlqj4b"/>
        </w:rPr>
      </w:pPr>
      <w:r>
        <w:rPr>
          <w:rStyle w:val="jlqj4b"/>
        </w:rPr>
        <w:tab/>
        <w:t>DIN EN 13893 (Protiskluzový)</w:t>
      </w:r>
    </w:p>
    <w:p w:rsidR="0028652C" w:rsidRDefault="0028652C" w:rsidP="006F12C9">
      <w:pPr>
        <w:tabs>
          <w:tab w:val="left" w:pos="1843"/>
        </w:tabs>
        <w:spacing w:after="0"/>
        <w:ind w:left="1843" w:hanging="1843"/>
      </w:pPr>
    </w:p>
    <w:p w:rsidR="006F12C9" w:rsidRDefault="006F12C9" w:rsidP="006F12C9">
      <w:pPr>
        <w:tabs>
          <w:tab w:val="left" w:pos="1843"/>
        </w:tabs>
        <w:spacing w:after="0"/>
        <w:ind w:left="1843" w:hanging="1843"/>
      </w:pPr>
    </w:p>
    <w:sectPr w:rsidR="006F12C9" w:rsidSect="002B553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6F1" w:rsidRDefault="00A976F1" w:rsidP="0046087C">
      <w:pPr>
        <w:spacing w:after="0" w:line="240" w:lineRule="auto"/>
      </w:pPr>
      <w:r>
        <w:separator/>
      </w:r>
    </w:p>
  </w:endnote>
  <w:endnote w:type="continuationSeparator" w:id="1">
    <w:p w:rsidR="00A976F1" w:rsidRDefault="00A976F1" w:rsidP="0046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7C" w:rsidRDefault="0046087C" w:rsidP="0046087C">
    <w:pPr>
      <w:pStyle w:val="Zpat"/>
      <w:ind w:left="-851"/>
    </w:pPr>
    <w:r>
      <w:rPr>
        <w:noProof/>
        <w:lang w:eastAsia="cs-CZ"/>
      </w:rPr>
      <w:drawing>
        <wp:inline distT="0" distB="0" distL="0" distR="0">
          <wp:extent cx="6882682" cy="792560"/>
          <wp:effectExtent l="19050" t="0" r="0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464" cy="795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6F1" w:rsidRDefault="00A976F1" w:rsidP="0046087C">
      <w:pPr>
        <w:spacing w:after="0" w:line="240" w:lineRule="auto"/>
      </w:pPr>
      <w:r>
        <w:separator/>
      </w:r>
    </w:p>
  </w:footnote>
  <w:footnote w:type="continuationSeparator" w:id="1">
    <w:p w:rsidR="00A976F1" w:rsidRDefault="00A976F1" w:rsidP="0046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C35" w:rsidRPr="00BF49C7" w:rsidRDefault="00732C35" w:rsidP="00732C35">
    <w:pPr>
      <w:rPr>
        <w:u w:val="single" w:color="FFFF00"/>
      </w:rPr>
    </w:pPr>
    <w:r w:rsidRPr="00BF49C7">
      <w:rPr>
        <w:sz w:val="72"/>
        <w:szCs w:val="72"/>
      </w:rPr>
      <w:t>2K- TREPPENLACK</w:t>
    </w:r>
    <w:r w:rsidRPr="00BF49C7">
      <w:rPr>
        <w:sz w:val="72"/>
        <w:szCs w:val="72"/>
      </w:rPr>
      <w:tab/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752227" cy="1196127"/>
          <wp:effectExtent l="19050" t="0" r="0" b="0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49" cy="1197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F49C7">
      <w:rPr>
        <w:u w:val="thick" w:color="FFFF00"/>
      </w:rPr>
      <w:t>_______________________________________________________________</w:t>
    </w:r>
    <w:r w:rsidRPr="006E2A60">
      <w:rPr>
        <w:b/>
      </w:rPr>
      <w:t>Technické informace</w:t>
    </w:r>
    <w:r w:rsidRPr="00BF49C7">
      <w:rPr>
        <w:u w:val="thick" w:color="FFFF00"/>
      </w:rPr>
      <w:t>__</w:t>
    </w:r>
  </w:p>
  <w:p w:rsidR="00732C35" w:rsidRDefault="00732C3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F49C7"/>
    <w:rsid w:val="0028652C"/>
    <w:rsid w:val="002B553B"/>
    <w:rsid w:val="00445EA0"/>
    <w:rsid w:val="0046087C"/>
    <w:rsid w:val="005A6875"/>
    <w:rsid w:val="00672A3E"/>
    <w:rsid w:val="0069663B"/>
    <w:rsid w:val="006E2A60"/>
    <w:rsid w:val="006E756C"/>
    <w:rsid w:val="006F12C9"/>
    <w:rsid w:val="00732C35"/>
    <w:rsid w:val="0088242E"/>
    <w:rsid w:val="00957D04"/>
    <w:rsid w:val="00A15F98"/>
    <w:rsid w:val="00A976F1"/>
    <w:rsid w:val="00AE7A7B"/>
    <w:rsid w:val="00BF49C7"/>
    <w:rsid w:val="00D1258F"/>
    <w:rsid w:val="00DA16C8"/>
    <w:rsid w:val="00EB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8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9C7"/>
    <w:rPr>
      <w:rFonts w:ascii="Tahoma" w:hAnsi="Tahoma" w:cs="Tahoma"/>
      <w:sz w:val="16"/>
      <w:szCs w:val="16"/>
    </w:rPr>
  </w:style>
  <w:style w:type="character" w:customStyle="1" w:styleId="viiyi">
    <w:name w:val="viiyi"/>
    <w:basedOn w:val="Standardnpsmoodstavce"/>
    <w:rsid w:val="006E2A60"/>
  </w:style>
  <w:style w:type="character" w:customStyle="1" w:styleId="jlqj4b">
    <w:name w:val="jlqj4b"/>
    <w:basedOn w:val="Standardnpsmoodstavce"/>
    <w:rsid w:val="006E2A60"/>
  </w:style>
  <w:style w:type="paragraph" w:styleId="Zhlav">
    <w:name w:val="header"/>
    <w:basedOn w:val="Normln"/>
    <w:link w:val="ZhlavChar"/>
    <w:uiPriority w:val="99"/>
    <w:semiHidden/>
    <w:unhideWhenUsed/>
    <w:rsid w:val="0046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087C"/>
  </w:style>
  <w:style w:type="paragraph" w:styleId="Zpat">
    <w:name w:val="footer"/>
    <w:basedOn w:val="Normln"/>
    <w:link w:val="ZpatChar"/>
    <w:uiPriority w:val="99"/>
    <w:semiHidden/>
    <w:unhideWhenUsed/>
    <w:rsid w:val="0046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0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</dc:creator>
  <cp:lastModifiedBy>Terez</cp:lastModifiedBy>
  <cp:revision>8</cp:revision>
  <dcterms:created xsi:type="dcterms:W3CDTF">2022-02-22T12:19:00Z</dcterms:created>
  <dcterms:modified xsi:type="dcterms:W3CDTF">2022-02-23T11:12:00Z</dcterms:modified>
</cp:coreProperties>
</file>